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Çerez ve Benzeri Teknolojiler Aydınlatma Metni</w:t>
      </w:r>
    </w:p>
    <w:p>
      <w:pPr>
        <w:spacing w:after="240"/>
      </w:pPr>
      <w:r>
        <w:rPr>
          <w:color w:val="5C6770"/>
          <w:sz w:val="20"/>
        </w:rPr>
        <w:t>KayakRehberi.net | Sürüm 2026-10-v1 | Son güncelleme: 06.10.2026</w:t>
      </w:r>
    </w:p>
    <w:tbl>
      <w:tblPr>
        <w:tblW w:type="auto" w:w="0"/>
        <w:jc w:val="center"/>
        <w:tblLayout w:type="autofit"/>
        <w:tblLook w:firstColumn="1" w:firstRow="1" w:lastColumn="0" w:lastRow="0" w:noHBand="0" w:noVBand="1" w:val="04A0"/>
      </w:tblPr>
      <w:tblGrid>
        <w:gridCol w:w="9994"/>
      </w:tblGrid>
      <w:tr>
        <w:tc>
          <w:tcPr>
            <w:tcW w:type="dxa" w:w="9994"/>
            <w:shd w:fill="FFF2CC"/>
            <w:tcMar>
              <w:top w:w="120" w:type="dxa"/>
              <w:start w:w="130" w:type="dxa"/>
              <w:bottom w:w="120" w:type="dxa"/>
              <w:end w:w="130" w:type="dxa"/>
            </w:tcMar>
          </w:tcPr>
          <w:p>
            <w:r>
              <w:t>VERİ SORUMLUSU: Selim Pekkul | ADRES: Zeytinoğlu Caddesi, Nilüfer Apartmanı, Bina No: 56, Daire: 61, Kat: 9, Beşiktaş / İstanbul | KVKK E-POSTA: info@kayakrehberi.net | KEP: Bulunmamaktadır.</w:t>
            </w:r>
          </w:p>
        </w:tc>
      </w:tr>
    </w:tbl>
    <w:p>
      <w:pPr>
        <w:pStyle w:val="Heading1"/>
        <w:keepNext/>
      </w:pPr>
      <w:r>
        <w:t>1. Amaç ve kapsam</w:t>
      </w:r>
    </w:p>
    <w:p>
      <w:r>
        <w:t>Bu metin, KayakRehberi.net sitesinde kullanılan çerezleri ve çerez benzeri tarayıcı depolama teknolojilerini; bunların amaçlarını, hukuki sebeplerini, sürelerini ve tercihlerinizi nasıl yönetebileceğinizi açıklar. Veri sorumlusu Selim Pekkul’dır.</w:t>
      </w:r>
    </w:p>
    <w:p>
      <w:pPr>
        <w:pStyle w:val="Heading1"/>
        <w:keepNext/>
      </w:pPr>
      <w:r>
        <w:t>2. Çerez ve benzeri teknolojiler nedir?</w:t>
      </w:r>
    </w:p>
    <w:p>
      <w:r>
        <w:t>Çerezler, internet sitesini ziyaret ettiğinizde tarayıcınıza kaydedilebilen küçük metin dosyalarıdır. localStorage gibi yerel depolama araçları da tercih ve oturum bilgilerini tarayıcıda saklayabilir. Bu sitede mevcut sürüm itibarıyla çerez tercih kaydı localStorage’da, üyelik oturumu ise Supabase Auth tarafından tarayıcı depolamasında tutulur.</w:t>
      </w:r>
    </w:p>
    <w:p>
      <w:pPr>
        <w:pStyle w:val="Heading1"/>
        <w:keepNext/>
      </w:pPr>
      <w:r>
        <w:t>3. Mevcut teknolojiler</w:t>
      </w:r>
    </w:p>
    <w:tbl>
      <w:tblPr>
        <w:tblStyle w:val="TableGrid"/>
        <w:tblW w:type="auto" w:w="0"/>
        <w:jc w:val="center"/>
        <w:tblLayout w:type="autofit"/>
        <w:tblLook w:firstColumn="1" w:firstRow="1" w:lastColumn="0" w:lastRow="0" w:noHBand="0" w:noVBand="1" w:val="04A0"/>
      </w:tblPr>
      <w:tblGrid>
        <w:gridCol w:w="2498"/>
        <w:gridCol w:w="2498"/>
        <w:gridCol w:w="2498"/>
        <w:gridCol w:w="2498"/>
      </w:tblGrid>
      <w:tr>
        <w:trPr>
          <w:tblHeader w:val="true"/>
        </w:trPr>
        <w:tc>
          <w:tcPr>
            <w:tcW w:type="dxa" w:w="2498"/>
            <w:shd w:fill="102A43"/>
            <w:tcMar>
              <w:top w:w="90" w:type="dxa"/>
              <w:start w:w="100" w:type="dxa"/>
              <w:bottom w:w="90" w:type="dxa"/>
              <w:end w:w="100" w:type="dxa"/>
            </w:tcMar>
          </w:tcPr>
          <w:p>
            <w:r>
              <w:rPr>
                <w:b/>
                <w:color w:val="FFFFFF"/>
                <w:sz w:val="18"/>
              </w:rPr>
              <w:t>Teknoloji / sağlayıcı</w:t>
            </w:r>
          </w:p>
        </w:tc>
        <w:tc>
          <w:tcPr>
            <w:tcW w:type="dxa" w:w="2498"/>
            <w:shd w:fill="102A43"/>
            <w:tcMar>
              <w:top w:w="90" w:type="dxa"/>
              <w:start w:w="100" w:type="dxa"/>
              <w:bottom w:w="90" w:type="dxa"/>
              <w:end w:w="100" w:type="dxa"/>
            </w:tcMar>
          </w:tcPr>
          <w:p>
            <w:r>
              <w:rPr>
                <w:b/>
                <w:color w:val="FFFFFF"/>
                <w:sz w:val="18"/>
              </w:rPr>
              <w:t>Amaç ve veri</w:t>
            </w:r>
          </w:p>
        </w:tc>
        <w:tc>
          <w:tcPr>
            <w:tcW w:type="dxa" w:w="2498"/>
            <w:shd w:fill="102A43"/>
            <w:tcMar>
              <w:top w:w="90" w:type="dxa"/>
              <w:start w:w="100" w:type="dxa"/>
              <w:bottom w:w="90" w:type="dxa"/>
              <w:end w:w="100" w:type="dxa"/>
            </w:tcMar>
          </w:tcPr>
          <w:p>
            <w:r>
              <w:rPr>
                <w:b/>
                <w:color w:val="FFFFFF"/>
                <w:sz w:val="18"/>
              </w:rPr>
              <w:t>Tür / hukuki sebep</w:t>
            </w:r>
          </w:p>
        </w:tc>
        <w:tc>
          <w:tcPr>
            <w:tcW w:type="dxa" w:w="2498"/>
            <w:shd w:fill="102A43"/>
            <w:tcMar>
              <w:top w:w="90" w:type="dxa"/>
              <w:start w:w="100" w:type="dxa"/>
              <w:bottom w:w="90" w:type="dxa"/>
              <w:end w:w="100" w:type="dxa"/>
            </w:tcMar>
          </w:tcPr>
          <w:p>
            <w:r>
              <w:rPr>
                <w:b/>
                <w:color w:val="FFFFFF"/>
                <w:sz w:val="18"/>
              </w:rPr>
              <w:t>Süre</w:t>
            </w:r>
          </w:p>
        </w:tc>
      </w:tr>
      <w:tr>
        <w:tc>
          <w:tcPr>
            <w:tcW w:type="dxa" w:w="2498"/>
            <w:vAlign w:val="top"/>
            <w:tcMar>
              <w:top w:w="90" w:type="dxa"/>
              <w:start w:w="100" w:type="dxa"/>
              <w:bottom w:w="90" w:type="dxa"/>
              <w:end w:w="100" w:type="dxa"/>
            </w:tcMar>
          </w:tcPr>
          <w:p>
            <w:r>
              <w:rPr>
                <w:sz w:val="16"/>
              </w:rPr>
              <w:t>kr_cookie_consent_v1 (KayakRehberi localStorage)</w:t>
            </w:r>
          </w:p>
        </w:tc>
        <w:tc>
          <w:tcPr>
            <w:tcW w:type="dxa" w:w="2498"/>
            <w:vAlign w:val="top"/>
            <w:tcMar>
              <w:top w:w="90" w:type="dxa"/>
              <w:start w:w="100" w:type="dxa"/>
              <w:bottom w:w="90" w:type="dxa"/>
              <w:end w:w="100" w:type="dxa"/>
            </w:tcMar>
          </w:tcPr>
          <w:p>
            <w:r>
              <w:rPr>
                <w:sz w:val="16"/>
              </w:rPr>
              <w:t>Zorunlu ve analitik teknoloji tercihinin, sürümün ve kayıt zamanının hatırlanması.</w:t>
            </w:r>
          </w:p>
        </w:tc>
        <w:tc>
          <w:tcPr>
            <w:tcW w:type="dxa" w:w="2498"/>
            <w:vAlign w:val="top"/>
            <w:tcMar>
              <w:top w:w="90" w:type="dxa"/>
              <w:start w:w="100" w:type="dxa"/>
              <w:bottom w:w="90" w:type="dxa"/>
              <w:end w:w="100" w:type="dxa"/>
            </w:tcMar>
          </w:tcPr>
          <w:p>
            <w:r>
              <w:rPr>
                <w:sz w:val="16"/>
              </w:rPr>
              <w:t>Tercih işlevi için zorunlu; KVKK m.5/2-f meşru menfaat.</w:t>
            </w:r>
          </w:p>
        </w:tc>
        <w:tc>
          <w:tcPr>
            <w:tcW w:type="dxa" w:w="2498"/>
            <w:vAlign w:val="top"/>
            <w:tcMar>
              <w:top w:w="90" w:type="dxa"/>
              <w:start w:w="100" w:type="dxa"/>
              <w:bottom w:w="90" w:type="dxa"/>
              <w:end w:w="100" w:type="dxa"/>
            </w:tcMar>
          </w:tcPr>
          <w:p>
            <w:r>
              <w:rPr>
                <w:sz w:val="16"/>
              </w:rPr>
              <w:t>Tercih geri alınana, tarayıcı verileri temizlenene veya politika sürümü değişene kadar; önerilen azami 12 ay.</w:t>
            </w:r>
          </w:p>
        </w:tc>
      </w:tr>
      <w:tr>
        <w:tc>
          <w:tcPr>
            <w:tcW w:type="dxa" w:w="2498"/>
            <w:vAlign w:val="top"/>
            <w:tcMar>
              <w:top w:w="90" w:type="dxa"/>
              <w:start w:w="100" w:type="dxa"/>
              <w:bottom w:w="90" w:type="dxa"/>
              <w:end w:w="100" w:type="dxa"/>
            </w:tcMar>
            <w:shd w:fill="F6F9FB"/>
          </w:tcPr>
          <w:p>
            <w:r>
              <w:rPr>
                <w:sz w:val="16"/>
              </w:rPr>
              <w:t>Supabase Auth tarayıcı oturum kaydı (anahtar adı yapılandırmaya göre değişebilir)</w:t>
            </w:r>
          </w:p>
        </w:tc>
        <w:tc>
          <w:tcPr>
            <w:tcW w:type="dxa" w:w="2498"/>
            <w:vAlign w:val="top"/>
            <w:tcMar>
              <w:top w:w="90" w:type="dxa"/>
              <w:start w:w="100" w:type="dxa"/>
              <w:bottom w:w="90" w:type="dxa"/>
              <w:end w:w="100" w:type="dxa"/>
            </w:tcMar>
            <w:shd w:fill="F6F9FB"/>
          </w:tcPr>
          <w:p>
            <w:r>
              <w:rPr>
                <w:sz w:val="16"/>
              </w:rPr>
              <w:t>Üyelik oturumunun sürdürülmesi, token yenileme ve güvenli giriş. Kullanıcı/oturum kimliği ve güvenlik belirteçleri.</w:t>
            </w:r>
          </w:p>
        </w:tc>
        <w:tc>
          <w:tcPr>
            <w:tcW w:type="dxa" w:w="2498"/>
            <w:vAlign w:val="top"/>
            <w:tcMar>
              <w:top w:w="90" w:type="dxa"/>
              <w:start w:w="100" w:type="dxa"/>
              <w:bottom w:w="90" w:type="dxa"/>
              <w:end w:w="100" w:type="dxa"/>
            </w:tcMar>
            <w:shd w:fill="F6F9FB"/>
          </w:tcPr>
          <w:p>
            <w:r>
              <w:rPr>
                <w:sz w:val="16"/>
              </w:rPr>
              <w:t>Kullanıcı tarafından talep edilen üyelik hizmeti için zorunlu; KVKK m.5/2-c.</w:t>
            </w:r>
          </w:p>
        </w:tc>
        <w:tc>
          <w:tcPr>
            <w:tcW w:type="dxa" w:w="2498"/>
            <w:vAlign w:val="top"/>
            <w:tcMar>
              <w:top w:w="90" w:type="dxa"/>
              <w:start w:w="100" w:type="dxa"/>
              <w:bottom w:w="90" w:type="dxa"/>
              <w:end w:w="100" w:type="dxa"/>
            </w:tcMar>
            <w:shd w:fill="F6F9FB"/>
          </w:tcPr>
          <w:p>
            <w:r>
              <w:rPr>
                <w:sz w:val="16"/>
              </w:rPr>
              <w:t>Oturumun ve teknik token sürelerinin gerektirdiği süre; çıkış veya tarayıcı verilerinin temizlenmesiyle sona erebilir.</w:t>
            </w:r>
          </w:p>
        </w:tc>
      </w:tr>
      <w:tr>
        <w:tc>
          <w:tcPr>
            <w:tcW w:type="dxa" w:w="2498"/>
            <w:vAlign w:val="top"/>
            <w:tcMar>
              <w:top w:w="90" w:type="dxa"/>
              <w:start w:w="100" w:type="dxa"/>
              <w:bottom w:w="90" w:type="dxa"/>
              <w:end w:w="100" w:type="dxa"/>
            </w:tcMar>
          </w:tcPr>
          <w:p>
            <w:r>
              <w:rPr>
                <w:sz w:val="16"/>
              </w:rPr>
              <w:t>Netlify sunucu/CDN kayıtları</w:t>
            </w:r>
          </w:p>
        </w:tc>
        <w:tc>
          <w:tcPr>
            <w:tcW w:type="dxa" w:w="2498"/>
            <w:vAlign w:val="top"/>
            <w:tcMar>
              <w:top w:w="90" w:type="dxa"/>
              <w:start w:w="100" w:type="dxa"/>
              <w:bottom w:w="90" w:type="dxa"/>
              <w:end w:w="100" w:type="dxa"/>
            </w:tcMar>
          </w:tcPr>
          <w:p>
            <w:r>
              <w:rPr>
                <w:sz w:val="16"/>
              </w:rPr>
              <w:t>Sayfanın sunulması, güvenlik, hata ve kötüye kullanım takibi; IP, tarih-saat, tarayıcı/cihaz bilgileri oluşabilir.</w:t>
            </w:r>
          </w:p>
        </w:tc>
        <w:tc>
          <w:tcPr>
            <w:tcW w:type="dxa" w:w="2498"/>
            <w:vAlign w:val="top"/>
            <w:tcMar>
              <w:top w:w="90" w:type="dxa"/>
              <w:start w:w="100" w:type="dxa"/>
              <w:bottom w:w="90" w:type="dxa"/>
              <w:end w:w="100" w:type="dxa"/>
            </w:tcMar>
          </w:tcPr>
          <w:p>
            <w:r>
              <w:rPr>
                <w:sz w:val="16"/>
              </w:rPr>
              <w:t>Zorunlu; KVKK m.5/2-ç ve m.5/2-f.</w:t>
            </w:r>
          </w:p>
        </w:tc>
        <w:tc>
          <w:tcPr>
            <w:tcW w:type="dxa" w:w="2498"/>
            <w:vAlign w:val="top"/>
            <w:tcMar>
              <w:top w:w="90" w:type="dxa"/>
              <w:start w:w="100" w:type="dxa"/>
              <w:bottom w:w="90" w:type="dxa"/>
              <w:end w:w="100" w:type="dxa"/>
            </w:tcMar>
          </w:tcPr>
          <w:p>
            <w:r>
              <w:rPr>
                <w:sz w:val="16"/>
              </w:rPr>
              <w:t>Sağlayıcının sözleşmesel ve yapılandırılmış kayıt süresi.</w:t>
            </w:r>
          </w:p>
        </w:tc>
      </w:tr>
      <w:tr>
        <w:tc>
          <w:tcPr>
            <w:tcW w:type="dxa" w:w="2498"/>
            <w:vAlign w:val="top"/>
            <w:tcMar>
              <w:top w:w="90" w:type="dxa"/>
              <w:start w:w="100" w:type="dxa"/>
              <w:bottom w:w="90" w:type="dxa"/>
              <w:end w:w="100" w:type="dxa"/>
            </w:tcMar>
            <w:shd w:fill="F6F9FB"/>
          </w:tcPr>
          <w:p>
            <w:r>
              <w:rPr>
                <w:sz w:val="16"/>
              </w:rPr>
              <w:t>jsDelivr CDN isteği</w:t>
            </w:r>
          </w:p>
        </w:tc>
        <w:tc>
          <w:tcPr>
            <w:tcW w:type="dxa" w:w="2498"/>
            <w:vAlign w:val="top"/>
            <w:tcMar>
              <w:top w:w="90" w:type="dxa"/>
              <w:start w:w="100" w:type="dxa"/>
              <w:bottom w:w="90" w:type="dxa"/>
              <w:end w:w="100" w:type="dxa"/>
            </w:tcMar>
            <w:shd w:fill="F6F9FB"/>
          </w:tcPr>
          <w:p>
            <w:r>
              <w:rPr>
                <w:sz w:val="16"/>
              </w:rPr>
              <w:t>Supabase istemci kütüphanesinin tarayıcıya iletilmesi; IP ve teknik istek kayıtları oluşabilir.</w:t>
            </w:r>
          </w:p>
        </w:tc>
        <w:tc>
          <w:tcPr>
            <w:tcW w:type="dxa" w:w="2498"/>
            <w:vAlign w:val="top"/>
            <w:tcMar>
              <w:top w:w="90" w:type="dxa"/>
              <w:start w:w="100" w:type="dxa"/>
              <w:bottom w:w="90" w:type="dxa"/>
              <w:end w:w="100" w:type="dxa"/>
            </w:tcMar>
            <w:shd w:fill="F6F9FB"/>
          </w:tcPr>
          <w:p>
            <w:r>
              <w:rPr>
                <w:sz w:val="16"/>
              </w:rPr>
              <w:t>Teknik olarak zorunlu; KVKK m.5/2-f.</w:t>
            </w:r>
          </w:p>
        </w:tc>
        <w:tc>
          <w:tcPr>
            <w:tcW w:type="dxa" w:w="2498"/>
            <w:vAlign w:val="top"/>
            <w:tcMar>
              <w:top w:w="90" w:type="dxa"/>
              <w:start w:w="100" w:type="dxa"/>
              <w:bottom w:w="90" w:type="dxa"/>
              <w:end w:w="100" w:type="dxa"/>
            </w:tcMar>
            <w:shd w:fill="F6F9FB"/>
          </w:tcPr>
          <w:p>
            <w:r>
              <w:rPr>
                <w:sz w:val="16"/>
              </w:rPr>
              <w:t>Sağlayıcının kayıt politikası süresince.</w:t>
            </w:r>
          </w:p>
        </w:tc>
      </w:tr>
      <w:tr>
        <w:tc>
          <w:tcPr>
            <w:tcW w:type="dxa" w:w="2498"/>
            <w:vAlign w:val="top"/>
            <w:tcMar>
              <w:top w:w="90" w:type="dxa"/>
              <w:start w:w="100" w:type="dxa"/>
              <w:bottom w:w="90" w:type="dxa"/>
              <w:end w:w="100" w:type="dxa"/>
            </w:tcMar>
          </w:tcPr>
          <w:p>
            <w:r>
              <w:rPr>
                <w:sz w:val="16"/>
              </w:rPr>
              <w:t>Open-Meteo API isteği</w:t>
            </w:r>
          </w:p>
        </w:tc>
        <w:tc>
          <w:tcPr>
            <w:tcW w:type="dxa" w:w="2498"/>
            <w:vAlign w:val="top"/>
            <w:tcMar>
              <w:top w:w="90" w:type="dxa"/>
              <w:start w:w="100" w:type="dxa"/>
              <w:bottom w:w="90" w:type="dxa"/>
              <w:end w:w="100" w:type="dxa"/>
            </w:tcMar>
          </w:tcPr>
          <w:p>
            <w:r>
              <w:rPr>
                <w:sz w:val="16"/>
              </w:rPr>
              <w:t>Hava/kar tahmin verilerinin sunulması; tarayıcı isteği nedeniyle IP ve teknik bağlantı bilgileri oluşabilir.</w:t>
            </w:r>
          </w:p>
        </w:tc>
        <w:tc>
          <w:tcPr>
            <w:tcW w:type="dxa" w:w="2498"/>
            <w:vAlign w:val="top"/>
            <w:tcMar>
              <w:top w:w="90" w:type="dxa"/>
              <w:start w:w="100" w:type="dxa"/>
              <w:bottom w:w="90" w:type="dxa"/>
              <w:end w:w="100" w:type="dxa"/>
            </w:tcMar>
          </w:tcPr>
          <w:p>
            <w:r>
              <w:rPr>
                <w:sz w:val="16"/>
              </w:rPr>
              <w:t>Talep edilen içeriğin sunulması için zorunlu; KVKK m.5/2-c veya m.5/2-f.</w:t>
            </w:r>
          </w:p>
        </w:tc>
        <w:tc>
          <w:tcPr>
            <w:tcW w:type="dxa" w:w="2498"/>
            <w:vAlign w:val="top"/>
            <w:tcMar>
              <w:top w:w="90" w:type="dxa"/>
              <w:start w:w="100" w:type="dxa"/>
              <w:bottom w:w="90" w:type="dxa"/>
              <w:end w:w="100" w:type="dxa"/>
            </w:tcMar>
          </w:tcPr>
          <w:p>
            <w:r>
              <w:rPr>
                <w:sz w:val="16"/>
              </w:rPr>
              <w:t>Sağlayıcının kayıt politikası süresince.</w:t>
            </w:r>
          </w:p>
        </w:tc>
      </w:tr>
    </w:tbl>
    <w:p>
      <w:r>
        <w:br w:type="page"/>
      </w:r>
    </w:p>
    <w:p>
      <w:pPr>
        <w:pStyle w:val="Heading1"/>
        <w:keepNext/>
      </w:pPr>
      <w:r>
        <w:t>4. Analitik ve reklam teknolojileri</w:t>
      </w:r>
    </w:p>
    <w:p>
      <w:r>
        <w:t>06.10.2026 tarihli teknik incelemede Google Analytics, Meta Pixel veya benzeri analitik/reklam aracı tespit edilmemiştir. Bu nedenle “Tümünü kabul et” seçeneği mevcut hâliyle ilave bir analitik araç etkinleştirmemektedir. Analitik veya reklam teknolojisi sonradan eklenirse, bu teknolojiler önceden işaretlenmemiş ve ayrı bir tercih ile açık rıza verilmedikçe çalıştırılmamalı; sağlayıcı, amaç, süre ve yurt dışı aktarım bilgileri bu tabloya eklenmelidir.</w:t>
      </w:r>
    </w:p>
    <w:p>
      <w:pPr>
        <w:pStyle w:val="Heading1"/>
        <w:keepNext/>
      </w:pPr>
      <w:r>
        <w:t>5. Tercihlerin yönetimi</w:t>
      </w:r>
    </w:p>
    <w:p>
      <w:pPr>
        <w:pStyle w:val="ListBullet"/>
        <w:ind w:left="259" w:hanging="202"/>
      </w:pPr>
      <w:r>
        <w:t>Zorunlu olmayan teknolojileri reddetmek, siteye erişimi veya temel üyelik işlevlerini engellememelidir.</w:t>
      </w:r>
    </w:p>
    <w:p>
      <w:pPr>
        <w:pStyle w:val="ListBullet"/>
        <w:ind w:left="259" w:hanging="202"/>
      </w:pPr>
      <w:r>
        <w:t>“Tümünü kabul et” ve “Yalnızca gerekli” seçenekleri görünürlük ve erişilebilirlik bakımından eşdeğer sunulmalıdır.</w:t>
      </w:r>
    </w:p>
    <w:p>
      <w:pPr>
        <w:pStyle w:val="ListBullet"/>
        <w:ind w:left="259" w:hanging="202"/>
      </w:pPr>
      <w:r>
        <w:t>Kullanıcı, footer’da sürekli erişilebilir “Çerez Tercihleri” bağlantısıyla kararını değiştirebilmelidir.</w:t>
      </w:r>
    </w:p>
    <w:p>
      <w:pPr>
        <w:pStyle w:val="ListBullet"/>
        <w:ind w:left="259" w:hanging="202"/>
      </w:pPr>
      <w:r>
        <w:t>Tercih geri alındığında zorunlu olmayan teknolojiler durdurulmalı ve erişilebilir biçimde silinmelidir.</w:t>
      </w:r>
    </w:p>
    <w:p>
      <w:pPr>
        <w:pStyle w:val="ListBullet"/>
        <w:ind w:left="259" w:hanging="202"/>
      </w:pPr>
      <w:r>
        <w:t>Tarayıcı ayarlarından çerezler ve site verileri silinebilir; bu işlem üyelik oturumunu da sonlandırabilir.</w:t>
      </w:r>
    </w:p>
    <w:p>
      <w:pPr>
        <w:pStyle w:val="Heading1"/>
        <w:keepNext/>
      </w:pPr>
      <w:r>
        <w:t>6. Yurt dışına aktarım</w:t>
      </w:r>
    </w:p>
    <w:p>
      <w:r>
        <w:t>Supabase, Netlify, jsDelivr ve Open-Meteo bağlantıları kapsamında teknik veriler yurt dışındaki sunucularda işlenebilir. Aktarım, KVKK m.9’daki uygun aktarım mekanizmasına dayanır. Sağlayıcı, bölge ve alt işleyen listeleri üretim öncesinde doğrulanmalı; gerekli standart sözleşme ve bildirim süreçleri tamamlanmalıdır.</w:t>
      </w:r>
    </w:p>
    <w:p>
      <w:pPr>
        <w:pStyle w:val="Heading1"/>
        <w:keepNext/>
      </w:pPr>
      <w:r>
        <w:t>7. Haklar ve iletişim</w:t>
      </w:r>
    </w:p>
    <w:p>
      <w:r>
        <w:t>KVKK m.11 kapsamındaki haklarınız için info@kayakrehberi.net veya Zeytinoğlu Caddesi, Nilüfer Apartmanı, Bina No: 56, Daire: 61, Kat: 9, Beşiktaş / İstanbul üzerinden başvurabilirsiniz. KEP adresimiz bulunmamaktadır. Ayrıntılı yöntem ve form, “KVKK Başvurusu” sayfasında yer alır.</w:t>
      </w:r>
    </w:p>
    <w:p>
      <w:pPr>
        <w:pStyle w:val="Heading1"/>
        <w:keepNext/>
      </w:pPr>
      <w:r>
        <w:t>8. Güncelleme</w:t>
      </w:r>
    </w:p>
    <w:p>
      <w:r>
        <w:t>Bu metin, siteye yeni bir sağlayıcı, analitik araç, reklam teknolojisi veya yeni çerez/yerel depolama anahtarı eklendiğinde kullanımdan önce güncellenir. Çerez tercih sürümü de değiştirilerek kullanıcıdan güncel tercih alınır.</w:t>
      </w:r>
    </w:p>
    <w:sectPr w:rsidR="00FC693F" w:rsidRPr="0006063C" w:rsidSect="00034616">
      <w:headerReference w:type="default" r:id="rId9"/>
      <w:footerReference w:type="default" r:id="rId10"/>
      <w:pgSz w:w="12240" w:h="15840"/>
      <w:pgMar w:top="1037" w:right="1123" w:bottom="936" w:left="112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al" w:hAnsi="Arial"/>
        <w:color w:val="5C6770"/>
        <w:sz w:val="15"/>
      </w:rPr>
      <w:t>KayakRehberi.net | Çerez 2026-10-v1 | 06.10.2026</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Arial" w:hAnsi="Arial"/>
        <w:b/>
        <w:color w:val="1677A6"/>
        <w:sz w:val="15"/>
      </w:rPr>
      <w:t>KAYAKREHBERİ.NET  |  HUKUKİ METİNLER</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59" w:lineRule="auto"/>
    </w:pPr>
    <w:rPr>
      <w:rFonts w:ascii="Arial" w:hAnsi="Arial" w:eastAsia="Arial"/>
      <w:color w:val="20283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80"/>
      <w:outlineLvl w:val="0"/>
    </w:pPr>
    <w:rPr>
      <w:rFonts w:asciiTheme="majorHAnsi" w:eastAsiaTheme="majorEastAsia" w:hAnsiTheme="majorHAnsi" w:cstheme="majorBidi" w:ascii="Arial" w:hAnsi="Arial" w:eastAsia="Arial"/>
      <w:b/>
      <w:bCs/>
      <w:color w:val="102A43"/>
      <w:sz w:val="30"/>
      <w:szCs w:val="28"/>
    </w:rPr>
  </w:style>
  <w:style w:type="paragraph" w:styleId="Heading2">
    <w:name w:val="heading 2"/>
    <w:basedOn w:val="Normal"/>
    <w:next w:val="Normal"/>
    <w:link w:val="Heading2Char"/>
    <w:uiPriority w:val="9"/>
    <w:unhideWhenUsed/>
    <w:qFormat/>
    <w:rsid w:val="00FC693F"/>
    <w:pPr>
      <w:keepNext/>
      <w:keepLines/>
      <w:spacing w:before="200" w:after="80"/>
      <w:outlineLvl w:val="1"/>
    </w:pPr>
    <w:rPr>
      <w:rFonts w:asciiTheme="majorHAnsi" w:eastAsiaTheme="majorEastAsia" w:hAnsiTheme="majorHAnsi" w:cstheme="majorBidi" w:ascii="Arial" w:hAnsi="Arial" w:eastAsia="Arial"/>
      <w:b/>
      <w:bCs/>
      <w:color w:val="1677A6"/>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80" w:line="240" w:lineRule="auto" w:before="200"/>
      <w:contextualSpacing/>
    </w:pPr>
    <w:rPr>
      <w:rFonts w:asciiTheme="majorHAnsi" w:eastAsiaTheme="majorEastAsia" w:hAnsiTheme="majorHAnsi" w:cstheme="majorBidi" w:ascii="Arial" w:hAnsi="Arial" w:eastAsia="Arial"/>
      <w:b/>
      <w:color w:val="102A43"/>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