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Kişisel Verilerin İşlenmesine İlişkin Aydınlatma Metni</w:t>
      </w:r>
    </w:p>
    <w:p>
      <w:pPr>
        <w:spacing w:after="240"/>
      </w:pPr>
      <w:r>
        <w:rPr>
          <w:color w:val="5C6770"/>
          <w:sz w:val="20"/>
        </w:rPr>
        <w:t>KayakRehberi.net internet sitesi ve üyelik hizmetleri | Sürüm 2026-10-v1 | Son güncelleme: 06.10.2026</w:t>
      </w:r>
    </w:p>
    <w:tbl>
      <w:tblPr>
        <w:tblW w:type="auto" w:w="0"/>
        <w:jc w:val="center"/>
        <w:tblLayout w:type="autofit"/>
        <w:tblLook w:firstColumn="1" w:firstRow="1" w:lastColumn="0" w:lastRow="0" w:noHBand="0" w:noVBand="1" w:val="04A0"/>
      </w:tblPr>
      <w:tblGrid>
        <w:gridCol w:w="9994"/>
      </w:tblGrid>
      <w:tr>
        <w:tc>
          <w:tcPr>
            <w:tcW w:type="dxa" w:w="9994"/>
            <w:shd w:fill="FFF2CC"/>
            <w:tcMar>
              <w:top w:w="120" w:type="dxa"/>
              <w:start w:w="130" w:type="dxa"/>
              <w:bottom w:w="120" w:type="dxa"/>
              <w:end w:w="130" w:type="dxa"/>
            </w:tcMar>
          </w:tcPr>
          <w:p>
            <w:r>
              <w:t>VERİ SORUMLUSU: Selim Pekkul | ADRES: Zeytinoğlu Caddesi, Nilüfer Apartmanı, Bina No: 56, Daire: 61, Kat: 9, Beşiktaş / İstanbul | KVKK E-POSTA: info@kayakrehberi.net | KEP: Bulunmamaktadır.</w:t>
            </w:r>
          </w:p>
        </w:tc>
      </w:tr>
    </w:tbl>
    <w:p>
      <w:pPr>
        <w:pStyle w:val="Heading1"/>
        <w:keepNext/>
      </w:pPr>
      <w:r>
        <w:t>1. Veri sorumlusu</w:t>
      </w:r>
    </w:p>
    <w:p>
      <w:r>
        <w:t>6698 sayılı Kişisel Verilerin Korunması Kanunu ("KVKK") uyarınca, KayakRehberi.net internet sitesi ve üyelik hizmetleri kapsamında kişisel verileriniz veri sorumlusu sıfatıyla Selim Pekkul tarafından işlenmektedir.</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02A43"/>
            <w:tcMar>
              <w:top w:w="90" w:type="dxa"/>
              <w:start w:w="100" w:type="dxa"/>
              <w:bottom w:w="90" w:type="dxa"/>
              <w:end w:w="100" w:type="dxa"/>
            </w:tcMar>
          </w:tcPr>
          <w:p>
            <w:r>
              <w:rPr>
                <w:b/>
                <w:color w:val="FFFFFF"/>
                <w:sz w:val="18"/>
              </w:rPr>
              <w:t>Bilgi</w:t>
            </w:r>
          </w:p>
        </w:tc>
        <w:tc>
          <w:tcPr>
            <w:tcW w:type="dxa" w:w="4997"/>
            <w:shd w:fill="102A43"/>
            <w:tcMar>
              <w:top w:w="90" w:type="dxa"/>
              <w:start w:w="100" w:type="dxa"/>
              <w:bottom w:w="90" w:type="dxa"/>
              <w:end w:w="100" w:type="dxa"/>
            </w:tcMar>
          </w:tcPr>
          <w:p>
            <w:r>
              <w:rPr>
                <w:b/>
                <w:color w:val="FFFFFF"/>
                <w:sz w:val="18"/>
              </w:rPr>
              <w:t>Açıklama</w:t>
            </w:r>
          </w:p>
        </w:tc>
      </w:tr>
      <w:tr>
        <w:tc>
          <w:tcPr>
            <w:tcW w:type="dxa" w:w="4997"/>
            <w:vAlign w:val="top"/>
            <w:tcMar>
              <w:top w:w="90" w:type="dxa"/>
              <w:start w:w="100" w:type="dxa"/>
              <w:bottom w:w="90" w:type="dxa"/>
              <w:end w:w="100" w:type="dxa"/>
            </w:tcMar>
          </w:tcPr>
          <w:p>
            <w:r>
              <w:rPr>
                <w:sz w:val="16"/>
              </w:rPr>
              <w:t>Veri sorumlusu</w:t>
            </w:r>
          </w:p>
        </w:tc>
        <w:tc>
          <w:tcPr>
            <w:tcW w:type="dxa" w:w="4997"/>
            <w:vAlign w:val="top"/>
            <w:tcMar>
              <w:top w:w="90" w:type="dxa"/>
              <w:start w:w="100" w:type="dxa"/>
              <w:bottom w:w="90" w:type="dxa"/>
              <w:end w:w="100" w:type="dxa"/>
            </w:tcMar>
          </w:tcPr>
          <w:p>
            <w:r>
              <w:t>Selim Pekkul</w:t>
            </w:r>
          </w:p>
        </w:tc>
      </w:tr>
      <w:tr>
        <w:tc>
          <w:tcPr>
            <w:tcW w:type="dxa" w:w="4997"/>
            <w:vAlign w:val="top"/>
            <w:tcMar>
              <w:top w:w="90" w:type="dxa"/>
              <w:start w:w="100" w:type="dxa"/>
              <w:bottom w:w="90" w:type="dxa"/>
              <w:end w:w="100" w:type="dxa"/>
            </w:tcMar>
            <w:shd w:fill="F6F9FB"/>
          </w:tcPr>
          <w:p>
            <w:r>
              <w:rPr>
                <w:sz w:val="16"/>
              </w:rPr>
              <w:t>Adres</w:t>
            </w:r>
          </w:p>
        </w:tc>
        <w:tc>
          <w:tcPr>
            <w:tcW w:type="dxa" w:w="4997"/>
            <w:vAlign w:val="top"/>
            <w:tcMar>
              <w:top w:w="90" w:type="dxa"/>
              <w:start w:w="100" w:type="dxa"/>
              <w:bottom w:w="90" w:type="dxa"/>
              <w:end w:w="100" w:type="dxa"/>
            </w:tcMar>
            <w:shd w:fill="F6F9FB"/>
          </w:tcPr>
          <w:p>
            <w:r>
              <w:t>Zeytinoğlu Caddesi, Nilüfer Apartmanı, Bina No: 56, Daire: 61, Kat: 9, Beşiktaş / İstanbul</w:t>
            </w:r>
          </w:p>
        </w:tc>
      </w:tr>
      <w:tr>
        <w:tc>
          <w:tcPr>
            <w:tcW w:type="dxa" w:w="4997"/>
            <w:vAlign w:val="top"/>
            <w:tcMar>
              <w:top w:w="90" w:type="dxa"/>
              <w:start w:w="100" w:type="dxa"/>
              <w:bottom w:w="90" w:type="dxa"/>
              <w:end w:w="100" w:type="dxa"/>
            </w:tcMar>
          </w:tcPr>
          <w:p>
            <w:r>
              <w:rPr>
                <w:sz w:val="16"/>
              </w:rPr>
              <w:t>KVKK başvuru e-postası</w:t>
            </w:r>
          </w:p>
        </w:tc>
        <w:tc>
          <w:tcPr>
            <w:tcW w:type="dxa" w:w="4997"/>
            <w:vAlign w:val="top"/>
            <w:tcMar>
              <w:top w:w="90" w:type="dxa"/>
              <w:start w:w="100" w:type="dxa"/>
              <w:bottom w:w="90" w:type="dxa"/>
              <w:end w:w="100" w:type="dxa"/>
            </w:tcMar>
          </w:tcPr>
          <w:p>
            <w:r>
              <w:t>info@kayakrehberi.net</w:t>
            </w:r>
          </w:p>
        </w:tc>
      </w:tr>
      <w:tr>
        <w:tc>
          <w:tcPr>
            <w:tcW w:type="dxa" w:w="4997"/>
            <w:vAlign w:val="top"/>
            <w:tcMar>
              <w:top w:w="90" w:type="dxa"/>
              <w:start w:w="100" w:type="dxa"/>
              <w:bottom w:w="90" w:type="dxa"/>
              <w:end w:w="100" w:type="dxa"/>
            </w:tcMar>
            <w:shd w:fill="F6F9FB"/>
          </w:tcPr>
          <w:p>
            <w:r>
              <w:rPr>
                <w:sz w:val="16"/>
              </w:rPr>
              <w:t>KEP adresi</w:t>
            </w:r>
          </w:p>
        </w:tc>
        <w:tc>
          <w:tcPr>
            <w:tcW w:type="dxa" w:w="4997"/>
            <w:vAlign w:val="top"/>
            <w:tcMar>
              <w:top w:w="90" w:type="dxa"/>
              <w:start w:w="100" w:type="dxa"/>
              <w:bottom w:w="90" w:type="dxa"/>
              <w:end w:w="100" w:type="dxa"/>
            </w:tcMar>
            <w:shd w:fill="F6F9FB"/>
          </w:tcPr>
          <w:p>
            <w:r>
              <w:t>Bulunmamaktadır.</w:t>
            </w:r>
          </w:p>
        </w:tc>
      </w:tr>
      <w:tr>
        <w:tc>
          <w:tcPr>
            <w:tcW w:type="dxa" w:w="4997"/>
            <w:vAlign w:val="top"/>
            <w:tcMar>
              <w:top w:w="90" w:type="dxa"/>
              <w:start w:w="100" w:type="dxa"/>
              <w:bottom w:w="90" w:type="dxa"/>
              <w:end w:w="100" w:type="dxa"/>
            </w:tcMar>
          </w:tcPr>
          <w:p>
            <w:r>
              <w:rPr>
                <w:sz w:val="16"/>
              </w:rPr>
              <w:t>İnternet sitesi</w:t>
            </w:r>
          </w:p>
        </w:tc>
        <w:tc>
          <w:tcPr>
            <w:tcW w:type="dxa" w:w="4997"/>
            <w:vAlign w:val="top"/>
            <w:tcMar>
              <w:top w:w="90" w:type="dxa"/>
              <w:start w:w="100" w:type="dxa"/>
              <w:bottom w:w="90" w:type="dxa"/>
              <w:end w:w="100" w:type="dxa"/>
            </w:tcMar>
          </w:tcPr>
          <w:p>
            <w:r>
              <w:rPr>
                <w:sz w:val="16"/>
              </w:rPr>
              <w:t>https://kayakrehberi.net</w:t>
            </w:r>
          </w:p>
        </w:tc>
      </w:tr>
    </w:tbl>
    <w:p>
      <w:pPr>
        <w:pStyle w:val="Heading1"/>
        <w:keepNext/>
      </w:pPr>
      <w:r>
        <w:t>2. Kapsam ve ilgili kişi grubu</w:t>
      </w:r>
    </w:p>
    <w:p>
      <w:r>
        <w:t>Bu metin; site ziyaretçilerini, üyelik oluşturan veya hesabına giriş yapan kullanıcıları, favori merkez ve kar alarmı özelliklerinden yararlananları, Al / Sat ilanı yayımlayan veya ilanlarla etkileşime geçen üyeleri, mesajlaşma özelliğini kullananları, bildirim ya da pazarlama tercihi bildirenleri ve veri sorumlusuyla iletişime geçen kişileri kapsar.</w:t>
      </w:r>
    </w:p>
    <w:p>
      <w:pPr>
        <w:pStyle w:val="Heading1"/>
        <w:keepNext/>
      </w:pPr>
      <w:r>
        <w:t>3. İşlenen kişisel veriler</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02A43"/>
            <w:tcMar>
              <w:top w:w="90" w:type="dxa"/>
              <w:start w:w="100" w:type="dxa"/>
              <w:bottom w:w="90" w:type="dxa"/>
              <w:end w:w="100" w:type="dxa"/>
            </w:tcMar>
          </w:tcPr>
          <w:p>
            <w:r>
              <w:rPr>
                <w:b/>
                <w:color w:val="FFFFFF"/>
                <w:sz w:val="18"/>
              </w:rPr>
              <w:t>Veri kategorisi</w:t>
            </w:r>
          </w:p>
        </w:tc>
        <w:tc>
          <w:tcPr>
            <w:tcW w:type="dxa" w:w="4997"/>
            <w:shd w:fill="102A43"/>
            <w:tcMar>
              <w:top w:w="90" w:type="dxa"/>
              <w:start w:w="100" w:type="dxa"/>
              <w:bottom w:w="90" w:type="dxa"/>
              <w:end w:w="100" w:type="dxa"/>
            </w:tcMar>
          </w:tcPr>
          <w:p>
            <w:r>
              <w:rPr>
                <w:b/>
                <w:color w:val="FFFFFF"/>
                <w:sz w:val="18"/>
              </w:rPr>
              <w:t>İşlenen veriler</w:t>
            </w:r>
          </w:p>
        </w:tc>
      </w:tr>
      <w:tr>
        <w:tc>
          <w:tcPr>
            <w:tcW w:type="dxa" w:w="4997"/>
            <w:vAlign w:val="top"/>
            <w:tcMar>
              <w:top w:w="90" w:type="dxa"/>
              <w:start w:w="100" w:type="dxa"/>
              <w:bottom w:w="90" w:type="dxa"/>
              <w:end w:w="100" w:type="dxa"/>
            </w:tcMar>
          </w:tcPr>
          <w:p>
            <w:r>
              <w:rPr>
                <w:sz w:val="16"/>
              </w:rPr>
              <w:t>Kimlik ve profil</w:t>
            </w:r>
          </w:p>
        </w:tc>
        <w:tc>
          <w:tcPr>
            <w:tcW w:type="dxa" w:w="4997"/>
            <w:vAlign w:val="top"/>
            <w:tcMar>
              <w:top w:w="90" w:type="dxa"/>
              <w:start w:w="100" w:type="dxa"/>
              <w:bottom w:w="90" w:type="dxa"/>
              <w:end w:w="100" w:type="dxa"/>
            </w:tcMar>
          </w:tcPr>
          <w:p>
            <w:r>
              <w:t>Ad, soyad, kullanıcı/görünen ad, sistem kullanıcı kimliği ve 18 yaşından büyük olunduğuna ilişkin beyan.</w:t>
            </w:r>
          </w:p>
        </w:tc>
      </w:tr>
      <w:tr>
        <w:tc>
          <w:tcPr>
            <w:tcW w:type="dxa" w:w="4997"/>
            <w:vAlign w:val="top"/>
            <w:tcMar>
              <w:top w:w="90" w:type="dxa"/>
              <w:start w:w="100" w:type="dxa"/>
              <w:bottom w:w="90" w:type="dxa"/>
              <w:end w:w="100" w:type="dxa"/>
            </w:tcMar>
            <w:shd w:fill="F6F9FB"/>
          </w:tcPr>
          <w:p>
            <w:r>
              <w:rPr>
                <w:sz w:val="16"/>
              </w:rPr>
              <w:t>İletişim</w:t>
            </w:r>
          </w:p>
        </w:tc>
        <w:tc>
          <w:tcPr>
            <w:tcW w:type="dxa" w:w="4997"/>
            <w:vAlign w:val="top"/>
            <w:tcMar>
              <w:top w:w="90" w:type="dxa"/>
              <w:start w:w="100" w:type="dxa"/>
              <w:bottom w:w="90" w:type="dxa"/>
              <w:end w:w="100" w:type="dxa"/>
            </w:tcMar>
            <w:shd w:fill="F6F9FB"/>
          </w:tcPr>
          <w:p>
            <w:r>
              <w:t>E-posta, telefon ve ülke kodu, ülke, açık adres, il/şehir, ilçe ve posta kodu.</w:t>
            </w:r>
          </w:p>
        </w:tc>
      </w:tr>
      <w:tr>
        <w:tc>
          <w:tcPr>
            <w:tcW w:type="dxa" w:w="4997"/>
            <w:vAlign w:val="top"/>
            <w:tcMar>
              <w:top w:w="90" w:type="dxa"/>
              <w:start w:w="100" w:type="dxa"/>
              <w:bottom w:w="90" w:type="dxa"/>
              <w:end w:w="100" w:type="dxa"/>
            </w:tcMar>
          </w:tcPr>
          <w:p>
            <w:r>
              <w:rPr>
                <w:sz w:val="16"/>
              </w:rPr>
              <w:t>Hesap güvenliği</w:t>
            </w:r>
          </w:p>
        </w:tc>
        <w:tc>
          <w:tcPr>
            <w:tcW w:type="dxa" w:w="4997"/>
            <w:vAlign w:val="top"/>
            <w:tcMar>
              <w:top w:w="90" w:type="dxa"/>
              <w:start w:w="100" w:type="dxa"/>
              <w:bottom w:w="90" w:type="dxa"/>
              <w:end w:w="100" w:type="dxa"/>
            </w:tcMar>
          </w:tcPr>
          <w:p>
            <w:r>
              <w:rPr>
                <w:sz w:val="16"/>
              </w:rPr>
              <w:t>Şifre doğrulama verileri (şifre, hizmet sağlayıcının güvenli kimlik doğrulama altyapısında özetlenmiş/korunmuş biçimde işlenir), oturum bilgileri, doğrulama ve şifre yenileme kayıtları.</w:t>
            </w:r>
          </w:p>
        </w:tc>
      </w:tr>
      <w:tr>
        <w:tc>
          <w:tcPr>
            <w:tcW w:type="dxa" w:w="4997"/>
            <w:vAlign w:val="top"/>
            <w:tcMar>
              <w:top w:w="90" w:type="dxa"/>
              <w:start w:w="100" w:type="dxa"/>
              <w:bottom w:w="90" w:type="dxa"/>
              <w:end w:w="100" w:type="dxa"/>
            </w:tcMar>
            <w:shd w:fill="F6F9FB"/>
          </w:tcPr>
          <w:p>
            <w:r>
              <w:rPr>
                <w:sz w:val="16"/>
              </w:rPr>
              <w:t>Kullanım ve tercih</w:t>
            </w:r>
          </w:p>
        </w:tc>
        <w:tc>
          <w:tcPr>
            <w:tcW w:type="dxa" w:w="4997"/>
            <w:vAlign w:val="top"/>
            <w:tcMar>
              <w:top w:w="90" w:type="dxa"/>
              <w:start w:w="100" w:type="dxa"/>
              <w:bottom w:w="90" w:type="dxa"/>
              <w:end w:w="100" w:type="dxa"/>
            </w:tcMar>
            <w:shd w:fill="F6F9FB"/>
          </w:tcPr>
          <w:p>
            <w:r>
              <w:rPr>
                <w:sz w:val="16"/>
              </w:rPr>
              <w:t>Favori kayak merkezleri, kar alarmı eşikleri ve aktiflik durumu, kar alarmı e-posta tercihi, bülten/kampanya tercihi.</w:t>
            </w:r>
          </w:p>
        </w:tc>
      </w:tr>
      <w:tr>
        <w:tc>
          <w:tcPr>
            <w:tcW w:type="dxa" w:w="4997"/>
            <w:vAlign w:val="top"/>
            <w:tcMar>
              <w:top w:w="90" w:type="dxa"/>
              <w:start w:w="100" w:type="dxa"/>
              <w:bottom w:w="90" w:type="dxa"/>
              <w:end w:w="100" w:type="dxa"/>
            </w:tcMar>
          </w:tcPr>
          <w:p>
            <w:r>
              <w:rPr>
                <w:sz w:val="16"/>
              </w:rPr>
              <w:t>Hukuki işlem</w:t>
            </w:r>
          </w:p>
        </w:tc>
        <w:tc>
          <w:tcPr>
            <w:tcW w:type="dxa" w:w="4997"/>
            <w:vAlign w:val="top"/>
            <w:tcMar>
              <w:top w:w="90" w:type="dxa"/>
              <w:start w:w="100" w:type="dxa"/>
              <w:bottom w:w="90" w:type="dxa"/>
              <w:end w:w="100" w:type="dxa"/>
            </w:tcMar>
          </w:tcPr>
          <w:p>
            <w:r>
              <w:rPr>
                <w:sz w:val="16"/>
              </w:rPr>
              <w:t>Üyelik ve kullanım koşulları sürümü, aydınlatma metni sürümü, ticari ileti/açık rıza tercihi, kabul veya ret durumu ile tarih-saat kayıtları.</w:t>
            </w:r>
          </w:p>
        </w:tc>
      </w:tr>
      <w:tr>
        <w:tc>
          <w:tcPr>
            <w:tcW w:type="dxa" w:w="4997"/>
            <w:vAlign w:val="top"/>
            <w:tcMar>
              <w:top w:w="90" w:type="dxa"/>
              <w:start w:w="100" w:type="dxa"/>
              <w:bottom w:w="90" w:type="dxa"/>
              <w:end w:w="100" w:type="dxa"/>
            </w:tcMar>
            <w:shd w:fill="F6F9FB"/>
          </w:tcPr>
          <w:p>
            <w:r>
              <w:rPr>
                <w:sz w:val="16"/>
              </w:rPr>
              <w:t>İşlem güvenliği ve teknik kayıt</w:t>
            </w:r>
          </w:p>
        </w:tc>
        <w:tc>
          <w:tcPr>
            <w:tcW w:type="dxa" w:w="4997"/>
            <w:vAlign w:val="top"/>
            <w:tcMar>
              <w:top w:w="90" w:type="dxa"/>
              <w:start w:w="100" w:type="dxa"/>
              <w:bottom w:w="90" w:type="dxa"/>
              <w:end w:w="100" w:type="dxa"/>
            </w:tcMar>
            <w:shd w:fill="F6F9FB"/>
          </w:tcPr>
          <w:p>
            <w:r>
              <w:rPr>
                <w:sz w:val="16"/>
              </w:rPr>
              <w:t>IP adresi, erişim zamanı, tarayıcı/cihaz ve kullanıcı aracısı bilgisi, hata, güvenlik ve sunucu kayıtları; çerez/yerel depolama tercih kaydı.</w:t>
            </w:r>
          </w:p>
        </w:tc>
      </w:tr>
      <w:tr>
        <w:tc>
          <w:tcPr>
            <w:tcW w:type="dxa" w:w="4997"/>
            <w:vAlign w:val="top"/>
            <w:tcMar>
              <w:top w:w="90" w:type="dxa"/>
              <w:start w:w="100" w:type="dxa"/>
              <w:bottom w:w="90" w:type="dxa"/>
              <w:end w:w="100" w:type="dxa"/>
            </w:tcMar>
          </w:tcPr>
          <w:p>
            <w:r>
              <w:rPr>
                <w:sz w:val="16"/>
              </w:rPr>
              <w:t>Talep ve başvuru</w:t>
            </w:r>
          </w:p>
        </w:tc>
        <w:tc>
          <w:tcPr>
            <w:tcW w:type="dxa" w:w="4997"/>
            <w:vAlign w:val="top"/>
            <w:tcMar>
              <w:top w:w="90" w:type="dxa"/>
              <w:start w:w="100" w:type="dxa"/>
              <w:bottom w:w="90" w:type="dxa"/>
              <w:end w:w="100" w:type="dxa"/>
            </w:tcMar>
          </w:tcPr>
          <w:p>
            <w:r>
              <w:rPr>
                <w:sz w:val="16"/>
              </w:rPr>
              <w:t>KVKK başvurusu veya destek talebinde paylaşılan kimlik, iletişim, talep ve ek belge bilgileri.</w:t>
            </w:r>
          </w:p>
        </w:tc>
      </w:tr>
      <w:tr>
        <w:tc>
          <w:tcPr>
            <w:tcW w:type="dxa" w:w="4997"/>
            <w:vAlign w:val="top"/>
            <w:tcMar>
              <w:top w:w="90" w:type="dxa"/>
              <w:start w:w="100" w:type="dxa"/>
              <w:bottom w:w="90" w:type="dxa"/>
              <w:end w:w="100" w:type="dxa"/>
            </w:tcMar>
          </w:tcPr>
          <w:p>
            <w:r>
              <w:t>Al / Sat ilan verileri</w:t>
            </w:r>
          </w:p>
        </w:tc>
        <w:tc>
          <w:tcPr>
            <w:tcW w:type="dxa" w:w="4997"/>
            <w:vAlign w:val="top"/>
            <w:tcMar>
              <w:top w:w="90" w:type="dxa"/>
              <w:start w:w="100" w:type="dxa"/>
              <w:bottom w:w="90" w:type="dxa"/>
              <w:end w:w="100" w:type="dxa"/>
            </w:tcMar>
          </w:tcPr>
          <w:p>
            <w:r>
              <w:t>İlan başlığı, kategori, marka/model, ürün durumu, beden/ölçü, açıklama, fiyat, konum, ilan durumu, ilan görseli/görsel yolu ve oluşturma-güncelleme zamanları.</w:t>
            </w:r>
          </w:p>
        </w:tc>
      </w:tr>
      <w:tr>
        <w:tc>
          <w:tcPr>
            <w:tcW w:type="dxa" w:w="4997"/>
            <w:vAlign w:val="top"/>
            <w:tcMar>
              <w:top w:w="90" w:type="dxa"/>
              <w:start w:w="100" w:type="dxa"/>
              <w:bottom w:w="90" w:type="dxa"/>
              <w:end w:w="100" w:type="dxa"/>
            </w:tcMar>
          </w:tcPr>
          <w:p>
            <w:r>
              <w:t>Mesajlaşma</w:t>
            </w:r>
          </w:p>
        </w:tc>
        <w:tc>
          <w:tcPr>
            <w:tcW w:type="dxa" w:w="4997"/>
            <w:vAlign w:val="top"/>
            <w:tcMar>
              <w:top w:w="90" w:type="dxa"/>
              <w:start w:w="100" w:type="dxa"/>
              <w:bottom w:w="90" w:type="dxa"/>
              <w:end w:w="100" w:type="dxa"/>
            </w:tcMar>
          </w:tcPr>
          <w:p>
            <w:r>
              <w:t>İlanla ilişkili mesaj içeriği, gönderen/alıcı kullanıcı kimlikleri, ilan kimliği, gönderim ve okunma zamanları.</w:t>
            </w:r>
          </w:p>
        </w:tc>
      </w:tr>
    </w:tbl>
    <w:p>
      <w:pPr>
        <w:pStyle w:val="Heading1"/>
        <w:keepNext/>
      </w:pPr>
      <w:r>
        <w:t>4. İşleme amaçları ve hukuki sebepler</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02A43"/>
            <w:tcMar>
              <w:top w:w="90" w:type="dxa"/>
              <w:start w:w="100" w:type="dxa"/>
              <w:bottom w:w="90" w:type="dxa"/>
              <w:end w:w="100" w:type="dxa"/>
            </w:tcMar>
          </w:tcPr>
          <w:p>
            <w:r>
              <w:rPr>
                <w:b/>
                <w:color w:val="FFFFFF"/>
                <w:sz w:val="18"/>
              </w:rPr>
              <w:t>Amaç</w:t>
            </w:r>
          </w:p>
        </w:tc>
        <w:tc>
          <w:tcPr>
            <w:tcW w:type="dxa" w:w="4997"/>
            <w:shd w:fill="102A43"/>
            <w:tcMar>
              <w:top w:w="90" w:type="dxa"/>
              <w:start w:w="100" w:type="dxa"/>
              <w:bottom w:w="90" w:type="dxa"/>
              <w:end w:w="100" w:type="dxa"/>
            </w:tcMar>
          </w:tcPr>
          <w:p>
            <w:r>
              <w:rPr>
                <w:b/>
                <w:color w:val="FFFFFF"/>
                <w:sz w:val="18"/>
              </w:rPr>
              <w:t>Hukuki sebep (KVKK m.5)</w:t>
            </w:r>
          </w:p>
        </w:tc>
      </w:tr>
      <w:tr>
        <w:tc>
          <w:tcPr>
            <w:tcW w:type="dxa" w:w="4997"/>
            <w:vAlign w:val="top"/>
            <w:tcMar>
              <w:top w:w="90" w:type="dxa"/>
              <w:start w:w="100" w:type="dxa"/>
              <w:bottom w:w="90" w:type="dxa"/>
              <w:end w:w="100" w:type="dxa"/>
            </w:tcMar>
          </w:tcPr>
          <w:p>
            <w:r>
              <w:rPr>
                <w:sz w:val="16"/>
              </w:rPr>
              <w:t>Üyelik hesabının kurulması, e-posta doğrulaması, giriş ve şifre yenileme işlemleri</w:t>
            </w:r>
          </w:p>
        </w:tc>
        <w:tc>
          <w:tcPr>
            <w:tcW w:type="dxa" w:w="4997"/>
            <w:vAlign w:val="top"/>
            <w:tcMar>
              <w:top w:w="90" w:type="dxa"/>
              <w:start w:w="100" w:type="dxa"/>
              <w:bottom w:w="90" w:type="dxa"/>
              <w:end w:w="100" w:type="dxa"/>
            </w:tcMar>
          </w:tcPr>
          <w:p>
            <w:r>
              <w:rPr>
                <w:sz w:val="16"/>
              </w:rPr>
              <w:t>Bir sözleşmenin kurulması veya ifasıyla doğrudan doğruya ilgili olması (m.5/2-c).</w:t>
            </w:r>
          </w:p>
        </w:tc>
      </w:tr>
      <w:tr>
        <w:tc>
          <w:tcPr>
            <w:tcW w:type="dxa" w:w="4997"/>
            <w:vAlign w:val="top"/>
            <w:tcMar>
              <w:top w:w="90" w:type="dxa"/>
              <w:start w:w="100" w:type="dxa"/>
              <w:bottom w:w="90" w:type="dxa"/>
              <w:end w:w="100" w:type="dxa"/>
            </w:tcMar>
            <w:shd w:fill="F6F9FB"/>
          </w:tcPr>
          <w:p>
            <w:r>
              <w:rPr>
                <w:sz w:val="16"/>
              </w:rPr>
              <w:t>Favoriler, kar alarmları ve üyeye özgü tercihlerin sunulması</w:t>
            </w:r>
          </w:p>
        </w:tc>
        <w:tc>
          <w:tcPr>
            <w:tcW w:type="dxa" w:w="4997"/>
            <w:vAlign w:val="top"/>
            <w:tcMar>
              <w:top w:w="90" w:type="dxa"/>
              <w:start w:w="100" w:type="dxa"/>
              <w:bottom w:w="90" w:type="dxa"/>
              <w:end w:w="100" w:type="dxa"/>
            </w:tcMar>
            <w:shd w:fill="F6F9FB"/>
          </w:tcPr>
          <w:p>
            <w:r>
              <w:rPr>
                <w:sz w:val="16"/>
              </w:rPr>
              <w:t>Bir sözleşmenin kurulması veya ifasıyla doğrudan doğruya ilgili olması (m.5/2-c).</w:t>
            </w:r>
          </w:p>
        </w:tc>
      </w:tr>
      <w:tr>
        <w:tc>
          <w:tcPr>
            <w:tcW w:type="dxa" w:w="4997"/>
            <w:vAlign w:val="top"/>
            <w:tcMar>
              <w:top w:w="90" w:type="dxa"/>
              <w:start w:w="100" w:type="dxa"/>
              <w:bottom w:w="90" w:type="dxa"/>
              <w:end w:w="100" w:type="dxa"/>
            </w:tcMar>
          </w:tcPr>
          <w:p>
            <w:r>
              <w:rPr>
                <w:sz w:val="16"/>
              </w:rPr>
              <w:t>Sistem güvenliğinin sağlanması, yetkisiz erişimin ve kötüye kullanımın önlenmesi, hata ve olay incelemesi</w:t>
            </w:r>
          </w:p>
        </w:tc>
        <w:tc>
          <w:tcPr>
            <w:tcW w:type="dxa" w:w="4997"/>
            <w:vAlign w:val="top"/>
            <w:tcMar>
              <w:top w:w="90" w:type="dxa"/>
              <w:start w:w="100" w:type="dxa"/>
              <w:bottom w:w="90" w:type="dxa"/>
              <w:end w:w="100" w:type="dxa"/>
            </w:tcMar>
          </w:tcPr>
          <w:p>
            <w:r>
              <w:rPr>
                <w:sz w:val="16"/>
              </w:rPr>
              <w:t>Veri sorumlusunun hukuki yükümlülüğü (m.5/2-ç) ve temel haklara zarar vermemek kaydıyla meşru menfaat (m.5/2-f).</w:t>
            </w:r>
          </w:p>
        </w:tc>
      </w:tr>
      <w:tr>
        <w:tc>
          <w:tcPr>
            <w:tcW w:type="dxa" w:w="4997"/>
            <w:vAlign w:val="top"/>
            <w:tcMar>
              <w:top w:w="90" w:type="dxa"/>
              <w:start w:w="100" w:type="dxa"/>
              <w:bottom w:w="90" w:type="dxa"/>
              <w:end w:w="100" w:type="dxa"/>
            </w:tcMar>
            <w:shd w:fill="F6F9FB"/>
          </w:tcPr>
          <w:p>
            <w:r>
              <w:rPr>
                <w:sz w:val="16"/>
              </w:rPr>
              <w:t>Aydınlatma, sözleşme ve tercih kayıtlarının tutulması; uyuşmazlıkların yönetimi</w:t>
            </w:r>
          </w:p>
        </w:tc>
        <w:tc>
          <w:tcPr>
            <w:tcW w:type="dxa" w:w="4997"/>
            <w:vAlign w:val="top"/>
            <w:tcMar>
              <w:top w:w="90" w:type="dxa"/>
              <w:start w:w="100" w:type="dxa"/>
              <w:bottom w:w="90" w:type="dxa"/>
              <w:end w:w="100" w:type="dxa"/>
            </w:tcMar>
            <w:shd w:fill="F6F9FB"/>
          </w:tcPr>
          <w:p>
            <w:r>
              <w:rPr>
                <w:sz w:val="16"/>
              </w:rPr>
              <w:t>Hukuki yükümlülük (m.5/2-ç) ile bir hakkın tesisi, kullanılması veya korunması (m.5/2-e).</w:t>
            </w:r>
          </w:p>
        </w:tc>
      </w:tr>
      <w:tr>
        <w:tc>
          <w:tcPr>
            <w:tcW w:type="dxa" w:w="4997"/>
            <w:vAlign w:val="top"/>
            <w:tcMar>
              <w:top w:w="90" w:type="dxa"/>
              <w:start w:w="100" w:type="dxa"/>
              <w:bottom w:w="90" w:type="dxa"/>
              <w:end w:w="100" w:type="dxa"/>
            </w:tcMar>
          </w:tcPr>
          <w:p>
            <w:r>
              <w:rPr>
                <w:sz w:val="16"/>
              </w:rPr>
              <w:t>Kar alarmı gibi talep edilen hizmet bildirimlerinin gönderilmesi</w:t>
            </w:r>
          </w:p>
        </w:tc>
        <w:tc>
          <w:tcPr>
            <w:tcW w:type="dxa" w:w="4997"/>
            <w:vAlign w:val="top"/>
            <w:tcMar>
              <w:top w:w="90" w:type="dxa"/>
              <w:start w:w="100" w:type="dxa"/>
              <w:bottom w:w="90" w:type="dxa"/>
              <w:end w:w="100" w:type="dxa"/>
            </w:tcMar>
          </w:tcPr>
          <w:p>
            <w:r>
              <w:rPr>
                <w:sz w:val="16"/>
              </w:rPr>
              <w:t>Sözleşmenin ifası (m.5/2-c). Bu iletiler pazarlama iletilerinden ayrıdır.</w:t>
            </w:r>
          </w:p>
        </w:tc>
      </w:tr>
      <w:tr>
        <w:tc>
          <w:tcPr>
            <w:tcW w:type="dxa" w:w="4997"/>
            <w:vAlign w:val="top"/>
            <w:tcMar>
              <w:top w:w="90" w:type="dxa"/>
              <w:start w:w="100" w:type="dxa"/>
              <w:bottom w:w="90" w:type="dxa"/>
              <w:end w:w="100" w:type="dxa"/>
            </w:tcMar>
            <w:shd w:fill="F6F9FB"/>
          </w:tcPr>
          <w:p>
            <w:r>
              <w:rPr>
                <w:sz w:val="16"/>
              </w:rPr>
              <w:t>Haber, içerik, kampanya ve tanıtım iletilerinin gönderilmesi</w:t>
            </w:r>
          </w:p>
        </w:tc>
        <w:tc>
          <w:tcPr>
            <w:tcW w:type="dxa" w:w="4997"/>
            <w:vAlign w:val="top"/>
            <w:tcMar>
              <w:top w:w="90" w:type="dxa"/>
              <w:start w:w="100" w:type="dxa"/>
              <w:bottom w:w="90" w:type="dxa"/>
              <w:end w:w="100" w:type="dxa"/>
            </w:tcMar>
            <w:shd w:fill="F6F9FB"/>
          </w:tcPr>
          <w:p>
            <w:r>
              <w:rPr>
                <w:sz w:val="16"/>
              </w:rPr>
              <w:t>Ayrı, özgür iradeyle verilen ve her zaman geri alınabilen açık rıza (m.5/1); ayrıca ticari elektronik ileti mevzuatı.</w:t>
            </w:r>
          </w:p>
        </w:tc>
      </w:tr>
      <w:tr>
        <w:tc>
          <w:tcPr>
            <w:tcW w:type="dxa" w:w="4997"/>
            <w:vAlign w:val="top"/>
            <w:tcMar>
              <w:top w:w="90" w:type="dxa"/>
              <w:start w:w="100" w:type="dxa"/>
              <w:bottom w:w="90" w:type="dxa"/>
              <w:end w:w="100" w:type="dxa"/>
            </w:tcMar>
          </w:tcPr>
          <w:p>
            <w:r>
              <w:rPr>
                <w:sz w:val="16"/>
              </w:rPr>
              <w:t>KVKK başvurularının alınması ve cevaplanması</w:t>
            </w:r>
          </w:p>
        </w:tc>
        <w:tc>
          <w:tcPr>
            <w:tcW w:type="dxa" w:w="4997"/>
            <w:vAlign w:val="top"/>
            <w:tcMar>
              <w:top w:w="90" w:type="dxa"/>
              <w:start w:w="100" w:type="dxa"/>
              <w:bottom w:w="90" w:type="dxa"/>
              <w:end w:w="100" w:type="dxa"/>
            </w:tcMar>
          </w:tcPr>
          <w:p>
            <w:r>
              <w:rPr>
                <w:sz w:val="16"/>
              </w:rPr>
              <w:t>Hukuki yükümlülük (m.5/2-ç) ve bir hakkın tesisi, kullanılması veya korunması (m.5/2-e).</w:t>
            </w:r>
          </w:p>
        </w:tc>
      </w:tr>
      <w:tr>
        <w:tc>
          <w:tcPr>
            <w:tcW w:type="dxa" w:w="4997"/>
            <w:vAlign w:val="top"/>
            <w:tcMar>
              <w:top w:w="90" w:type="dxa"/>
              <w:start w:w="100" w:type="dxa"/>
              <w:bottom w:w="90" w:type="dxa"/>
              <w:end w:w="100" w:type="dxa"/>
            </w:tcMar>
            <w:shd w:fill="F6F9FB"/>
          </w:tcPr>
          <w:p>
            <w:r>
              <w:t>Al / Sat ilanının yayımlanması, satıcıyla iletişim kurulması ve ilan mesajlaşmasının yürütülmesi</w:t>
            </w:r>
          </w:p>
        </w:tc>
        <w:tc>
          <w:tcPr>
            <w:tcW w:type="dxa" w:w="4997"/>
            <w:vAlign w:val="top"/>
            <w:tcMar>
              <w:top w:w="90" w:type="dxa"/>
              <w:start w:w="100" w:type="dxa"/>
              <w:bottom w:w="90" w:type="dxa"/>
              <w:end w:w="100" w:type="dxa"/>
            </w:tcMar>
            <w:shd w:fill="F6F9FB"/>
          </w:tcPr>
          <w:p>
            <w:r>
              <w:t>Talep edilen Platform hizmetinin sunulması kapsamında KVKK m.5/2-c; uyuşmazlık ve güvenlik kayıtlarında m.5/2-e ve m.5/2-f.</w:t>
            </w:r>
          </w:p>
        </w:tc>
      </w:tr>
    </w:tbl>
    <w:p>
      <w:pPr>
        <w:pStyle w:val="Heading1"/>
        <w:keepNext/>
      </w:pPr>
      <w:r>
        <w:t>5. Toplama yöntemi</w:t>
      </w:r>
    </w:p>
    <w:p>
      <w:r>
        <w:t>Kişisel veriler; üyelik, giriş, şifre yenileme, hesap ve tercih ekranları; favori/kar alarmı işlemleri; Al / Sat ilan formu, ilan görseli yükleme ve mesajlaşma ekranları; e-posta ve başvuru kanalları ile doğrudan sizden; ayrıca siteye erişim sırasında tarayıcı, cihaz, sunucu, barındırma, kimlik doğrulama ve yerel depolama teknolojileri üzerinden tamamen veya kısmen otomatik yollarla elde edilir.</w:t>
      </w:r>
    </w:p>
    <w:p>
      <w:pPr>
        <w:pStyle w:val="Heading1"/>
        <w:keepNext/>
      </w:pPr>
      <w:r>
        <w:t>6. Aktarım</w:t>
      </w:r>
    </w:p>
    <w:p>
      <w:r>
        <w:t>Kişisel veriler, yukarıdaki amaçlarla ve gerekli olduğu ölçüde aşağıdaki alıcı gruplarına aktarılabilir:</w:t>
      </w:r>
    </w:p>
    <w:p>
      <w:pPr>
        <w:pStyle w:val="ListBullet"/>
        <w:ind w:left="259" w:hanging="202"/>
      </w:pPr>
      <w:r>
        <w:t>Barındırma, içerik dağıtımı ve güvenlik hizmeti sağlayıcıları (mevcut yapıda Netlify),</w:t>
      </w:r>
    </w:p>
    <w:p>
      <w:pPr>
        <w:pStyle w:val="ListBullet"/>
        <w:ind w:left="259" w:hanging="202"/>
      </w:pPr>
      <w:r>
        <w:t>veritabanı, kullanıcı hesabı, kimlik doğrulama ve ilan görseli depolama hizmeti sağlayıcıları (mevcut yapıda Supabase),</w:t>
      </w:r>
    </w:p>
    <w:p>
      <w:pPr>
        <w:pStyle w:val="ListBullet"/>
        <w:ind w:left="259" w:hanging="202"/>
      </w:pPr>
      <w:r>
        <w:t>yazılım içerik dağıtım hizmetleri (mevcut yapıda jsDelivr) ve hava tahmini hizmeti sağlayıcısı (mevcut yapıda Open-Meteo); bu hizmetlere yapılan tarayıcı çağrılarında IP ve teknik bağlantı verileri oluşabilir,</w:t>
      </w:r>
    </w:p>
    <w:p>
      <w:pPr>
        <w:pStyle w:val="ListBullet"/>
        <w:ind w:left="259" w:hanging="202"/>
      </w:pPr>
      <w:r>
        <w:t>bildirim/e-posta altyapısı devreye alındığında bu hizmetin sağlayıcısı,</w:t>
      </w:r>
    </w:p>
    <w:p>
      <w:pPr>
        <w:pStyle w:val="ListBullet"/>
        <w:ind w:left="259" w:hanging="202"/>
      </w:pPr>
      <w:r>
        <w:t>hukuken yetkili kamu kurumları, adli merciler ve kanunen yetkili kişiler,</w:t>
      </w:r>
    </w:p>
    <w:p>
      <w:pPr>
        <w:pStyle w:val="ListBullet"/>
        <w:ind w:left="259" w:hanging="202"/>
      </w:pPr>
      <w:r>
        <w:t>gizlilik yükümlülüğü altındaki hukuk, bilişim ve denetim danışmanları.</w:t>
      </w:r>
    </w:p>
    <w:p>
      <w:r>
        <w:t>Netlify, Supabase, jsDelivr ve Open-Meteo hizmetlerinin sunucuları veya alt hizmet sağlayıcıları Türkiye dışında bulunabilir. Yurt dışına aktarım, KVKK m.9 kapsamında yeterlilik kararı, uygun güvence (örneğin Kurulca ilan edilen standart sözleşme) veya kanunda öngörülen istisnai hâllerden uygulanabilir olana dayanılarak gerçekleştirilir. Uygun aktarım mekanizması kurulmadan zorunlu olmayan yurt dışı aktarım yapılmamalıdır. Aktif Al / Sat ilanlarındaki ilan görseli ve ilan içeriği Platform kullanıcılarına; satıcının görünen adı, e-posta, telefon ve şehir/ilçe bilgileri ise giriş yapmış ve profilini tamamlamış üyelere gösterilebilir.</w:t>
      </w:r>
    </w:p>
    <w:p>
      <w:pPr>
        <w:pStyle w:val="Heading1"/>
        <w:keepNext/>
      </w:pPr>
      <w:r>
        <w:t>7. Saklama süreleri</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02A43"/>
            <w:tcMar>
              <w:top w:w="90" w:type="dxa"/>
              <w:start w:w="100" w:type="dxa"/>
              <w:bottom w:w="90" w:type="dxa"/>
              <w:end w:w="100" w:type="dxa"/>
            </w:tcMar>
          </w:tcPr>
          <w:p>
            <w:r>
              <w:rPr>
                <w:b/>
                <w:color w:val="FFFFFF"/>
                <w:sz w:val="18"/>
              </w:rPr>
              <w:t>Kayıt</w:t>
            </w:r>
          </w:p>
        </w:tc>
        <w:tc>
          <w:tcPr>
            <w:tcW w:type="dxa" w:w="4997"/>
            <w:shd w:fill="102A43"/>
            <w:tcMar>
              <w:top w:w="90" w:type="dxa"/>
              <w:start w:w="100" w:type="dxa"/>
              <w:bottom w:w="90" w:type="dxa"/>
              <w:end w:w="100" w:type="dxa"/>
            </w:tcMar>
          </w:tcPr>
          <w:p>
            <w:r>
              <w:rPr>
                <w:b/>
                <w:color w:val="FFFFFF"/>
                <w:sz w:val="18"/>
              </w:rPr>
              <w:t>Saklama yaklaşımı</w:t>
            </w:r>
          </w:p>
        </w:tc>
      </w:tr>
      <w:tr>
        <w:tc>
          <w:tcPr>
            <w:tcW w:type="dxa" w:w="4997"/>
            <w:vAlign w:val="top"/>
            <w:tcMar>
              <w:top w:w="90" w:type="dxa"/>
              <w:start w:w="100" w:type="dxa"/>
              <w:bottom w:w="90" w:type="dxa"/>
              <w:end w:w="100" w:type="dxa"/>
            </w:tcMar>
          </w:tcPr>
          <w:p>
            <w:r>
              <w:rPr>
                <w:sz w:val="16"/>
              </w:rPr>
              <w:t>Hesap, profil, favori ve alarm verileri</w:t>
            </w:r>
          </w:p>
        </w:tc>
        <w:tc>
          <w:tcPr>
            <w:tcW w:type="dxa" w:w="4997"/>
            <w:vAlign w:val="top"/>
            <w:tcMar>
              <w:top w:w="90" w:type="dxa"/>
              <w:start w:w="100" w:type="dxa"/>
              <w:bottom w:w="90" w:type="dxa"/>
              <w:end w:w="100" w:type="dxa"/>
            </w:tcMar>
          </w:tcPr>
          <w:p>
            <w:r>
              <w:rPr>
                <w:sz w:val="16"/>
              </w:rPr>
              <w:t>Üyelik devam ettiği sürece; hesap kapatıldıktan sonra hukuki talep ve zorunluluklar için gerekli sınırlı süre boyunca.</w:t>
            </w:r>
          </w:p>
        </w:tc>
      </w:tr>
      <w:tr>
        <w:tc>
          <w:tcPr>
            <w:tcW w:type="dxa" w:w="4997"/>
            <w:vAlign w:val="top"/>
            <w:tcMar>
              <w:top w:w="90" w:type="dxa"/>
              <w:start w:w="100" w:type="dxa"/>
              <w:bottom w:w="90" w:type="dxa"/>
              <w:end w:w="100" w:type="dxa"/>
            </w:tcMar>
            <w:shd w:fill="F6F9FB"/>
          </w:tcPr>
          <w:p>
            <w:r>
              <w:rPr>
                <w:sz w:val="16"/>
              </w:rPr>
              <w:t>Sözleşme, aydınlatma ve tercih kayıtları</w:t>
            </w:r>
          </w:p>
        </w:tc>
        <w:tc>
          <w:tcPr>
            <w:tcW w:type="dxa" w:w="4997"/>
            <w:vAlign w:val="top"/>
            <w:tcMar>
              <w:top w:w="90" w:type="dxa"/>
              <w:start w:w="100" w:type="dxa"/>
              <w:bottom w:w="90" w:type="dxa"/>
              <w:end w:w="100" w:type="dxa"/>
            </w:tcMar>
            <w:shd w:fill="F6F9FB"/>
          </w:tcPr>
          <w:p>
            <w:r>
              <w:rPr>
                <w:sz w:val="16"/>
              </w:rPr>
              <w:t>İlgili hukuki zamanaşımı ve ispat süreleri boyunca.</w:t>
            </w:r>
          </w:p>
        </w:tc>
      </w:tr>
      <w:tr>
        <w:tc>
          <w:tcPr>
            <w:tcW w:type="dxa" w:w="4997"/>
            <w:vAlign w:val="top"/>
            <w:tcMar>
              <w:top w:w="90" w:type="dxa"/>
              <w:start w:w="100" w:type="dxa"/>
              <w:bottom w:w="90" w:type="dxa"/>
              <w:end w:w="100" w:type="dxa"/>
            </w:tcMar>
          </w:tcPr>
          <w:p>
            <w:r>
              <w:rPr>
                <w:sz w:val="16"/>
              </w:rPr>
              <w:t>Güvenlik ve erişim kayıtları</w:t>
            </w:r>
          </w:p>
        </w:tc>
        <w:tc>
          <w:tcPr>
            <w:tcW w:type="dxa" w:w="4997"/>
            <w:vAlign w:val="top"/>
            <w:tcMar>
              <w:top w:w="90" w:type="dxa"/>
              <w:start w:w="100" w:type="dxa"/>
              <w:bottom w:w="90" w:type="dxa"/>
              <w:end w:w="100" w:type="dxa"/>
            </w:tcMar>
          </w:tcPr>
          <w:p>
            <w:r>
              <w:rPr>
                <w:sz w:val="16"/>
              </w:rPr>
              <w:t>Bilgi güvenliği ve olay yönetimi için belirlenen sınırlı süre boyunca.</w:t>
            </w:r>
          </w:p>
        </w:tc>
      </w:tr>
      <w:tr>
        <w:tc>
          <w:tcPr>
            <w:tcW w:type="dxa" w:w="4997"/>
            <w:vAlign w:val="top"/>
            <w:tcMar>
              <w:top w:w="90" w:type="dxa"/>
              <w:start w:w="100" w:type="dxa"/>
              <w:bottom w:w="90" w:type="dxa"/>
              <w:end w:w="100" w:type="dxa"/>
            </w:tcMar>
            <w:shd w:fill="F6F9FB"/>
          </w:tcPr>
          <w:p>
            <w:r>
              <w:rPr>
                <w:sz w:val="16"/>
              </w:rPr>
              <w:t>Pazarlama tercihi</w:t>
            </w:r>
          </w:p>
        </w:tc>
        <w:tc>
          <w:tcPr>
            <w:tcW w:type="dxa" w:w="4997"/>
            <w:vAlign w:val="top"/>
            <w:tcMar>
              <w:top w:w="90" w:type="dxa"/>
              <w:start w:w="100" w:type="dxa"/>
              <w:bottom w:w="90" w:type="dxa"/>
              <w:end w:w="100" w:type="dxa"/>
            </w:tcMar>
            <w:shd w:fill="F6F9FB"/>
          </w:tcPr>
          <w:p>
            <w:r>
              <w:rPr>
                <w:sz w:val="16"/>
              </w:rPr>
              <w:t>Rıza geri alınana kadar; geri alma ve önceki işlemenin ispatına ilişkin kayıtlar gerekli süre boyunca.</w:t>
            </w:r>
          </w:p>
        </w:tc>
      </w:tr>
      <w:tr>
        <w:tc>
          <w:tcPr>
            <w:tcW w:type="dxa" w:w="4997"/>
            <w:vAlign w:val="top"/>
            <w:tcMar>
              <w:top w:w="90" w:type="dxa"/>
              <w:start w:w="100" w:type="dxa"/>
              <w:bottom w:w="90" w:type="dxa"/>
              <w:end w:w="100" w:type="dxa"/>
            </w:tcMar>
          </w:tcPr>
          <w:p>
            <w:r>
              <w:rPr>
                <w:sz w:val="16"/>
              </w:rPr>
              <w:t>KVKK başvuruları</w:t>
            </w:r>
          </w:p>
        </w:tc>
        <w:tc>
          <w:tcPr>
            <w:tcW w:type="dxa" w:w="4997"/>
            <w:vAlign w:val="top"/>
            <w:tcMar>
              <w:top w:w="90" w:type="dxa"/>
              <w:start w:w="100" w:type="dxa"/>
              <w:bottom w:w="90" w:type="dxa"/>
              <w:end w:w="100" w:type="dxa"/>
            </w:tcMar>
          </w:tcPr>
          <w:p>
            <w:r>
              <w:rPr>
                <w:sz w:val="16"/>
              </w:rPr>
              <w:t>Başvurunun sonuçlandırılması ve olası uyuşmazlıklar için gerekli süre boyunca.</w:t>
            </w:r>
          </w:p>
        </w:tc>
      </w:tr>
      <w:tr>
        <w:tc>
          <w:tcPr>
            <w:tcW w:type="dxa" w:w="4997"/>
            <w:vAlign w:val="top"/>
            <w:tcMar>
              <w:top w:w="90" w:type="dxa"/>
              <w:start w:w="100" w:type="dxa"/>
              <w:bottom w:w="90" w:type="dxa"/>
              <w:end w:w="100" w:type="dxa"/>
            </w:tcMar>
          </w:tcPr>
          <w:p>
            <w:r>
              <w:t>Al / Sat ilan ve ilan görseli</w:t>
            </w:r>
          </w:p>
        </w:tc>
        <w:tc>
          <w:tcPr>
            <w:tcW w:type="dxa" w:w="4997"/>
            <w:vAlign w:val="top"/>
            <w:tcMar>
              <w:top w:w="90" w:type="dxa"/>
              <w:start w:w="100" w:type="dxa"/>
              <w:bottom w:w="90" w:type="dxa"/>
              <w:end w:w="100" w:type="dxa"/>
            </w:tcMar>
          </w:tcPr>
          <w:p>
            <w:r>
              <w:t>İlan aktif olduğu ve hizmet/uyuşmazlık yönetimi için gerekli olduğu süre boyunca; sonrasında hukuki zorunlulukların gerektirdiği sınırlı süre.</w:t>
            </w:r>
          </w:p>
        </w:tc>
      </w:tr>
      <w:tr>
        <w:tc>
          <w:tcPr>
            <w:tcW w:type="dxa" w:w="4997"/>
            <w:vAlign w:val="top"/>
            <w:tcMar>
              <w:top w:w="90" w:type="dxa"/>
              <w:start w:w="100" w:type="dxa"/>
              <w:bottom w:w="90" w:type="dxa"/>
              <w:end w:w="100" w:type="dxa"/>
            </w:tcMar>
          </w:tcPr>
          <w:p>
            <w:r>
              <w:t>Mesajlaşma kayıtları</w:t>
            </w:r>
          </w:p>
        </w:tc>
        <w:tc>
          <w:tcPr>
            <w:tcW w:type="dxa" w:w="4997"/>
            <w:vAlign w:val="top"/>
            <w:tcMar>
              <w:top w:w="90" w:type="dxa"/>
              <w:start w:w="100" w:type="dxa"/>
              <w:bottom w:w="90" w:type="dxa"/>
              <w:end w:w="100" w:type="dxa"/>
            </w:tcMar>
          </w:tcPr>
          <w:p>
            <w:r>
              <w:t>İlan iletişimi ve olası uyuşmazlıkların yönetimi için gerekli sınırlı süre boyunca.</w:t>
            </w:r>
          </w:p>
        </w:tc>
      </w:tr>
    </w:tbl>
    <w:p>
      <w:r>
        <w:t>Süre sonunda veriler, uygulanabilir mevzuata ve veri saklama-imha politikasına göre silinir, yok edilir veya anonim hâle getirilir. Teknik altyapının yedekleme döngüleri saklama-imha politikasında ayrıca belirlenir.</w:t>
      </w:r>
    </w:p>
    <w:p>
      <w:pPr>
        <w:pStyle w:val="Heading1"/>
        <w:keepNext/>
      </w:pPr>
      <w:r>
        <w:t>8. İlgili kişinin hakları</w:t>
      </w:r>
    </w:p>
    <w:p>
      <w:r>
        <w:t>KVKK m.11 uyarınca veri sorumlusuna başvurarak:</w:t>
      </w:r>
    </w:p>
    <w:p>
      <w:pPr>
        <w:pStyle w:val="ListBullet"/>
        <w:ind w:left="259" w:hanging="202"/>
      </w:pPr>
      <w:r>
        <w:t>kişisel verilerinizin işlenip işlenmediğini öğrenme, işlenmişse bilgi talep etme,</w:t>
      </w:r>
    </w:p>
    <w:p>
      <w:pPr>
        <w:pStyle w:val="ListBullet"/>
        <w:ind w:left="259" w:hanging="202"/>
      </w:pPr>
      <w:r>
        <w:t>işleme amacını ve verilerin amacına uygun kullanılıp kullanılmadığını öğrenme,</w:t>
      </w:r>
    </w:p>
    <w:p>
      <w:pPr>
        <w:pStyle w:val="ListBullet"/>
        <w:ind w:left="259" w:hanging="202"/>
      </w:pPr>
      <w:r>
        <w:t>yurt içinde veya yurt dışında verilerin aktarıldığı üçüncü kişileri bilme,</w:t>
      </w:r>
    </w:p>
    <w:p>
      <w:pPr>
        <w:pStyle w:val="ListBullet"/>
        <w:ind w:left="259" w:hanging="202"/>
      </w:pPr>
      <w:r>
        <w:t>eksik veya yanlış işlenen verilerin düzeltilmesini ve bu işlemin aktarım yapılan üçüncü kişilere bildirilmesini isteme,</w:t>
      </w:r>
    </w:p>
    <w:p>
      <w:pPr>
        <w:pStyle w:val="ListBullet"/>
        <w:ind w:left="259" w:hanging="202"/>
      </w:pPr>
      <w:r>
        <w:t>KVKK m.7 şartları kapsamında silme/yok etme ve bu işlemin aktarım yapılan üçüncü kişilere bildirilmesini isteme,</w:t>
      </w:r>
    </w:p>
    <w:p>
      <w:pPr>
        <w:pStyle w:val="ListBullet"/>
        <w:ind w:left="259" w:hanging="202"/>
      </w:pPr>
      <w:r>
        <w:t>otomatik sistem analizi sonucu aleyhinize bir sonucun ortaya çıkmasına itiraz etme,</w:t>
      </w:r>
    </w:p>
    <w:p>
      <w:pPr>
        <w:pStyle w:val="ListBullet"/>
        <w:ind w:left="259" w:hanging="202"/>
      </w:pPr>
      <w:r>
        <w:t>kanuna aykırı işleme nedeniyle zarara uğramanız hâlinde giderim talep etme haklarına sahipsiniz.</w:t>
      </w:r>
    </w:p>
    <w:p>
      <w:pPr>
        <w:pStyle w:val="Heading1"/>
        <w:keepNext/>
      </w:pPr>
      <w:r>
        <w:t>9. Başvuru usulü</w:t>
      </w:r>
    </w:p>
    <w:p>
      <w:r>
        <w:t>Taleplerinizi “KVKK İlgili Kişi Başvuru Formu” ile Zeytinoğlu Caddesi, Nilüfer Apartmanı, Bina No: 56, Daire: 61, Kat: 9, Beşiktaş / İstanbul adresine yazılı olarak veya daha önce sisteme bildirdiğiniz e-posta adresinizden info@kayakrehberi.net adresine iletebilirsiniz. KEP adresimiz bulunmamaktadır. Başvurular, niteliğine göre en kısa sürede ve en geç 30 gün içinde ücretsiz sonuçlandırılır; işlemin ayrıca maliyet gerektirmesi hâlinde Kurulca belirlenen tarifedeki ücret talep edilebilir.</w:t>
      </w:r>
    </w:p>
    <w:p>
      <w:pPr>
        <w:pStyle w:val="Heading1"/>
        <w:keepNext/>
      </w:pPr>
      <w:r>
        <w:t>10. Değişiklikler</w:t>
      </w:r>
    </w:p>
    <w:p>
      <w:r>
        <w:t>Veri işleme amaçları, kullanılan teknolojiler veya alıcı grupları değişirse bu metin veri işleme faaliyetinden önce güncellenir. Güncel sürüm KayakRehberi.net üzerinde yayımlanır; esaslı değişiklikler uygun yöntemle kullanıcılara duyurulur.</w:t>
      </w:r>
    </w:p>
    <w:sectPr w:rsidR="00FC693F" w:rsidRPr="0006063C" w:rsidSect="00034616">
      <w:headerReference w:type="default" r:id="rId9"/>
      <w:footerReference w:type="default" r:id="rId10"/>
      <w:pgSz w:w="12240" w:h="15840"/>
      <w:pgMar w:top="1037"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C6770"/>
        <w:sz w:val="15"/>
      </w:rPr>
      <w:t>KayakRehberi.net | Aydınlatma 2026-10-v1 | 06.10.2026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677A6"/>
        <w:sz w:val="15"/>
      </w:rPr>
      <w:t>KAYAKREHBERİ.NET  |  HUKUKİ METİNLER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eastAsia="Arial"/>
      <w:color w:val="2028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color w:val="102A43"/>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color w:val="1677A6"/>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Arial" w:hAnsi="Arial" w:eastAsia="Arial"/>
      <w:b/>
      <w:color w:val="102A4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